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3A0B" w14:textId="77777777" w:rsidR="00C807AA" w:rsidRPr="00C807AA" w:rsidRDefault="00C807AA" w:rsidP="00C807AA">
      <w:pPr>
        <w:pStyle w:val="Tittel"/>
        <w:rPr>
          <w:lang w:val="en-GB"/>
        </w:rPr>
      </w:pPr>
      <w:r w:rsidRPr="00C807AA">
        <w:rPr>
          <w:lang w:val="en-GB"/>
        </w:rPr>
        <w:t>Statement for Drytech AS</w:t>
      </w:r>
    </w:p>
    <w:p w14:paraId="70D0A949" w14:textId="77777777" w:rsidR="00C807AA" w:rsidRPr="00C807AA" w:rsidRDefault="00C807AA" w:rsidP="00C807AA">
      <w:pPr>
        <w:rPr>
          <w:lang w:val="en-GB"/>
        </w:rPr>
      </w:pPr>
      <w:r w:rsidRPr="00C807AA">
        <w:rPr>
          <w:b/>
          <w:bCs/>
          <w:lang w:val="en-GB"/>
        </w:rPr>
        <w:t>Applies to the period 01.01.2025–31.12.2025</w:t>
      </w:r>
      <w:r w:rsidRPr="00C807AA">
        <w:rPr>
          <w:lang w:val="en-GB"/>
        </w:rPr>
        <w:t xml:space="preserve"> </w:t>
      </w:r>
    </w:p>
    <w:p w14:paraId="0FFB47F0" w14:textId="77777777" w:rsidR="00C807AA" w:rsidRPr="00C807AA" w:rsidRDefault="00C807AA" w:rsidP="00C807AA">
      <w:pPr>
        <w:rPr>
          <w:lang w:val="en-GB"/>
        </w:rPr>
      </w:pPr>
      <w:r w:rsidRPr="00C807AA">
        <w:rPr>
          <w:lang w:val="en-GB"/>
        </w:rPr>
        <w:t>The purpose of the Norwegian Transparency Act, which entered into force on 1 July 2022, is to ensure that Norwegian companies actively work to safeguard fundamental human rights and decent working conditions throughout their supply chains. Drytech AS hereby publishes its statement, which is updated continuously or, at the latest, by 30 June each year in accordance with the Act.</w:t>
      </w:r>
    </w:p>
    <w:p w14:paraId="56C39513" w14:textId="77777777" w:rsidR="00C807AA" w:rsidRPr="00C807AA" w:rsidRDefault="00C807AA" w:rsidP="00C807AA">
      <w:pPr>
        <w:rPr>
          <w:b/>
          <w:bCs/>
          <w:lang w:val="en-GB"/>
        </w:rPr>
      </w:pPr>
      <w:r w:rsidRPr="00C807AA">
        <w:rPr>
          <w:b/>
          <w:bCs/>
          <w:lang w:val="en-GB"/>
        </w:rPr>
        <w:t>1. Introduction</w:t>
      </w:r>
    </w:p>
    <w:p w14:paraId="283AEEF1" w14:textId="77777777" w:rsidR="00C807AA" w:rsidRPr="00C807AA" w:rsidRDefault="00C807AA" w:rsidP="00C807AA">
      <w:pPr>
        <w:rPr>
          <w:lang w:val="en-GB"/>
        </w:rPr>
      </w:pPr>
      <w:r w:rsidRPr="00C807AA">
        <w:rPr>
          <w:lang w:val="en-GB"/>
        </w:rPr>
        <w:t xml:space="preserve">Drytech AS is a family-owned company that produces freeze-dried food and field rations for the outdoor and </w:t>
      </w:r>
      <w:proofErr w:type="spellStart"/>
      <w:r w:rsidRPr="00C807AA">
        <w:rPr>
          <w:lang w:val="en-GB"/>
        </w:rPr>
        <w:t>defense</w:t>
      </w:r>
      <w:proofErr w:type="spellEnd"/>
      <w:r w:rsidRPr="00C807AA">
        <w:rPr>
          <w:lang w:val="en-GB"/>
        </w:rPr>
        <w:t xml:space="preserve"> markets. Our primary markets are Norway and the Nordic region, but Drytech also exports to Europe. Our focus is on quality, HSE (Health, Safety and Environment), and sustainable solutions. Our values commit us to acting ethically and responsibly throughout all aspects of our operations. In this document, we describe our efforts to identify and manage risks related to human rights, working conditions, and ethical trade, in accordance with the requirements of the Transparency Act. </w:t>
      </w:r>
    </w:p>
    <w:p w14:paraId="33E5969C" w14:textId="68E2E87E" w:rsidR="00440447" w:rsidRDefault="00C807AA" w:rsidP="00C807AA">
      <w:pPr>
        <w:rPr>
          <w:lang w:val="en-GB"/>
        </w:rPr>
      </w:pPr>
      <w:r w:rsidRPr="00C807AA">
        <w:rPr>
          <w:lang w:val="en-GB"/>
        </w:rPr>
        <w:t>The company’s sustainability group is responsible for this work and has delegated responsibilities to the Purchasing and Product Development departments. The report focuses primarily on the supply chain, and those responsible possess the necessary expertise and work closely with suppliers. When initiating the due diligence assessments for this reporting period, the 2024 report was used as a key point of reference. That report outlined objectives for the coming period. For 2025, the objective was to maintain the supplier scope established in 2024, as we anticipated a significant increase in the number of suppliers meeting the established criteria. Emphasis was also placed on strengthening the overall structure of the supplier assessment process. In addition, a goal was set to implement the company’s Supplier Code of Conduct among its largest suppliers.</w:t>
      </w:r>
    </w:p>
    <w:p w14:paraId="50509EC0" w14:textId="77777777" w:rsidR="00C807AA" w:rsidRDefault="00C807AA" w:rsidP="00C807AA">
      <w:pPr>
        <w:rPr>
          <w:lang w:val="en-GB"/>
        </w:rPr>
      </w:pPr>
    </w:p>
    <w:p w14:paraId="29626C7A" w14:textId="77777777" w:rsidR="00C807AA" w:rsidRPr="00C807AA" w:rsidRDefault="00C807AA" w:rsidP="00C807AA">
      <w:pPr>
        <w:rPr>
          <w:b/>
          <w:bCs/>
          <w:lang w:val="en-GB"/>
        </w:rPr>
      </w:pPr>
      <w:r w:rsidRPr="00C807AA">
        <w:rPr>
          <w:b/>
          <w:bCs/>
          <w:lang w:val="en-GB"/>
        </w:rPr>
        <w:t>2. Anchoring of Responsible Business Conduct</w:t>
      </w:r>
    </w:p>
    <w:p w14:paraId="3FE858D7" w14:textId="77777777" w:rsidR="00C807AA" w:rsidRPr="00C807AA" w:rsidRDefault="00C807AA" w:rsidP="00C807AA">
      <w:pPr>
        <w:rPr>
          <w:lang w:val="en-GB"/>
        </w:rPr>
      </w:pPr>
      <w:r w:rsidRPr="00C807AA">
        <w:rPr>
          <w:lang w:val="en-GB"/>
        </w:rPr>
        <w:t xml:space="preserve">Our Board of Directors has anchored the work related to the Transparency Act within the organization. The company has an HSE Manager who is part of the management team, a functioning incident reporting system, and employee involvement through employee representatives, safety representatives, and employee-elected board members. In 2024, a Supplier Code of Conduct was developed to ensure that our suppliers operate in line with </w:t>
      </w:r>
      <w:proofErr w:type="spellStart"/>
      <w:r w:rsidRPr="00C807AA">
        <w:rPr>
          <w:lang w:val="en-GB"/>
        </w:rPr>
        <w:t>Drytech’s</w:t>
      </w:r>
      <w:proofErr w:type="spellEnd"/>
      <w:r w:rsidRPr="00C807AA">
        <w:rPr>
          <w:lang w:val="en-GB"/>
        </w:rPr>
        <w:t xml:space="preserve"> values and corporate social responsibility commitments. The document addresses ethical business practices, human rights and </w:t>
      </w:r>
      <w:proofErr w:type="spellStart"/>
      <w:r w:rsidRPr="00C807AA">
        <w:rPr>
          <w:lang w:val="en-GB"/>
        </w:rPr>
        <w:t>labor</w:t>
      </w:r>
      <w:proofErr w:type="spellEnd"/>
      <w:r w:rsidRPr="00C807AA">
        <w:rPr>
          <w:lang w:val="en-GB"/>
        </w:rPr>
        <w:t xml:space="preserve"> conditions, environmental considerations, health and safety, and compliance with laws and </w:t>
      </w:r>
      <w:r w:rsidRPr="00C807AA">
        <w:rPr>
          <w:lang w:val="en-GB"/>
        </w:rPr>
        <w:lastRenderedPageBreak/>
        <w:t xml:space="preserve">regulations. In 2025, implementation among our largest suppliers commenced. During the coming period, implementation among suppliers will continue. The objective is to ensure that we can apply the same requirements to our suppliers and their subcontractors as we do internally today. </w:t>
      </w:r>
    </w:p>
    <w:p w14:paraId="60DEC817" w14:textId="77777777" w:rsidR="00C807AA" w:rsidRPr="00C807AA" w:rsidRDefault="00C807AA" w:rsidP="00C807AA">
      <w:pPr>
        <w:rPr>
          <w:b/>
          <w:bCs/>
          <w:lang w:val="en-GB"/>
        </w:rPr>
      </w:pPr>
      <w:r w:rsidRPr="00C807AA">
        <w:rPr>
          <w:b/>
          <w:bCs/>
          <w:lang w:val="en-GB"/>
        </w:rPr>
        <w:t>3. Due Diligence Assessments</w:t>
      </w:r>
    </w:p>
    <w:p w14:paraId="5DAF146A" w14:textId="77777777" w:rsidR="00C807AA" w:rsidRPr="00C807AA" w:rsidRDefault="00C807AA" w:rsidP="00C807AA">
      <w:pPr>
        <w:rPr>
          <w:lang w:val="en-GB"/>
        </w:rPr>
      </w:pPr>
      <w:r w:rsidRPr="00C807AA">
        <w:rPr>
          <w:lang w:val="en-GB"/>
        </w:rPr>
        <w:t xml:space="preserve">The Transparency Act requires proportionate due diligence assessments. We therefore prioritize suppliers with whom we have the highest level of business activity and focus particularly on industries and countries where there is a high risk of violations related to human rights, decent working conditions, environmental standards, and anti-corruption. Based on the 2024 assessment, the criteria for inclusion in the supplier list have been maintained, covering all suppliers of goods and services with annual deliveries exceeding NOK 400,000. However, the number of suppliers increased significantly from 2024 to 2025 </w:t>
      </w:r>
      <w:proofErr w:type="gramStart"/>
      <w:r w:rsidRPr="00C807AA">
        <w:rPr>
          <w:lang w:val="en-GB"/>
        </w:rPr>
        <w:t>as a result of</w:t>
      </w:r>
      <w:proofErr w:type="gramEnd"/>
      <w:r w:rsidRPr="00C807AA">
        <w:rPr>
          <w:lang w:val="en-GB"/>
        </w:rPr>
        <w:t xml:space="preserve"> increased production and new contracts. The prioritized suppliers for this period account for 83% of total purchases in 2025. As of 31 December 2025, the prioritized suppliers include Norwegian suppliers as well as six foreign suppliers. The foreign suppliers </w:t>
      </w:r>
      <w:proofErr w:type="gramStart"/>
      <w:r w:rsidRPr="00C807AA">
        <w:rPr>
          <w:lang w:val="en-GB"/>
        </w:rPr>
        <w:t>are located in</w:t>
      </w:r>
      <w:proofErr w:type="gramEnd"/>
      <w:r w:rsidRPr="00C807AA">
        <w:rPr>
          <w:lang w:val="en-GB"/>
        </w:rPr>
        <w:t xml:space="preserve"> Europe, in countries considered to have a low-risk profile according to the criteria used under the Transparency Act. Although </w:t>
      </w:r>
      <w:proofErr w:type="gramStart"/>
      <w:r w:rsidRPr="00C807AA">
        <w:rPr>
          <w:lang w:val="en-GB"/>
        </w:rPr>
        <w:t>the majority of</w:t>
      </w:r>
      <w:proofErr w:type="gramEnd"/>
      <w:r w:rsidRPr="00C807AA">
        <w:rPr>
          <w:lang w:val="en-GB"/>
        </w:rPr>
        <w:t xml:space="preserve"> our suppliers are Norwegian, their international supply chains may involve exposure to countries with potential social sustainability risks. Assessing these conditions in greater depth is an objective for future reporting periods. </w:t>
      </w:r>
    </w:p>
    <w:p w14:paraId="55DA8FEE" w14:textId="77777777" w:rsidR="00C807AA" w:rsidRPr="00C807AA" w:rsidRDefault="00C807AA" w:rsidP="00C807AA">
      <w:pPr>
        <w:rPr>
          <w:b/>
          <w:bCs/>
          <w:lang w:val="en-GB"/>
        </w:rPr>
      </w:pPr>
      <w:r w:rsidRPr="00C807AA">
        <w:rPr>
          <w:b/>
          <w:bCs/>
          <w:lang w:val="en-GB"/>
        </w:rPr>
        <w:t>4. Methodology and Implementation</w:t>
      </w:r>
    </w:p>
    <w:p w14:paraId="3CD070B5" w14:textId="77777777" w:rsidR="00C807AA" w:rsidRPr="00C807AA" w:rsidRDefault="00C807AA" w:rsidP="00C807AA">
      <w:pPr>
        <w:rPr>
          <w:b/>
          <w:bCs/>
          <w:lang w:val="en-GB"/>
        </w:rPr>
      </w:pPr>
      <w:r w:rsidRPr="00C807AA">
        <w:rPr>
          <w:b/>
          <w:bCs/>
          <w:lang w:val="en-GB"/>
        </w:rPr>
        <w:t>4.1 External Conditions</w:t>
      </w:r>
    </w:p>
    <w:p w14:paraId="2380A207" w14:textId="77777777" w:rsidR="00C807AA" w:rsidRPr="00C807AA" w:rsidRDefault="00C807AA" w:rsidP="00C807AA">
      <w:pPr>
        <w:rPr>
          <w:lang w:val="en-GB"/>
        </w:rPr>
      </w:pPr>
      <w:r w:rsidRPr="00C807AA">
        <w:rPr>
          <w:lang w:val="en-GB"/>
        </w:rPr>
        <w:t>We have developed a systematic approach to achieve compliance with the Transparency Act. When alerts are generated through our supplier management system, our objective is to undertake the following actions:</w:t>
      </w:r>
    </w:p>
    <w:p w14:paraId="18D4AAF5" w14:textId="77777777" w:rsidR="00C807AA" w:rsidRPr="00C807AA" w:rsidRDefault="00C807AA" w:rsidP="00C807AA">
      <w:pPr>
        <w:rPr>
          <w:lang w:val="en-GB"/>
        </w:rPr>
      </w:pPr>
      <w:r w:rsidRPr="00C807AA">
        <w:rPr>
          <w:b/>
          <w:bCs/>
          <w:lang w:val="en-GB"/>
        </w:rPr>
        <w:t>Information gathering:</w:t>
      </w:r>
      <w:r w:rsidRPr="00C807AA">
        <w:rPr>
          <w:lang w:val="en-GB"/>
        </w:rPr>
        <w:t xml:space="preserve"> We collect documentation on relevant suppliers based on available information. This ensures that we maintain up-to-date knowledge of our supplier relationships and can make informed decisions. In our due diligence work, we utilize sources such as Freedom House for human rights assessments, the International Trade Union Confederation for </w:t>
      </w:r>
      <w:proofErr w:type="spellStart"/>
      <w:r w:rsidRPr="00C807AA">
        <w:rPr>
          <w:lang w:val="en-GB"/>
        </w:rPr>
        <w:t>labor</w:t>
      </w:r>
      <w:proofErr w:type="spellEnd"/>
      <w:r w:rsidRPr="00C807AA">
        <w:rPr>
          <w:lang w:val="en-GB"/>
        </w:rPr>
        <w:t xml:space="preserve"> rights and decent working conditions, the Environmental Performance Index for environmental matters, and Transparency International for anti-corruption assessments.</w:t>
      </w:r>
    </w:p>
    <w:p w14:paraId="31AF2643" w14:textId="77777777" w:rsidR="00C807AA" w:rsidRPr="00C807AA" w:rsidRDefault="00C807AA" w:rsidP="00C807AA">
      <w:pPr>
        <w:rPr>
          <w:lang w:val="en-GB"/>
        </w:rPr>
      </w:pPr>
      <w:r w:rsidRPr="00C807AA">
        <w:rPr>
          <w:b/>
          <w:bCs/>
          <w:lang w:val="en-GB"/>
        </w:rPr>
        <w:t>Investigation and dialogue:</w:t>
      </w:r>
      <w:r w:rsidRPr="00C807AA">
        <w:rPr>
          <w:lang w:val="en-GB"/>
        </w:rPr>
        <w:t xml:space="preserve"> For suppliers </w:t>
      </w:r>
      <w:proofErr w:type="gramStart"/>
      <w:r w:rsidRPr="00C807AA">
        <w:rPr>
          <w:lang w:val="en-GB"/>
        </w:rPr>
        <w:t>where</w:t>
      </w:r>
      <w:proofErr w:type="gramEnd"/>
      <w:r w:rsidRPr="00C807AA">
        <w:rPr>
          <w:lang w:val="en-GB"/>
        </w:rPr>
        <w:t xml:space="preserve"> elevated risk has been identified, we conduct more comprehensive investigations and follow-up discussions. Suppliers operating in high-risk industries or countries may be requested to provide more extensive documentation and participate in regular follow-up meetings when deemed appropriate.</w:t>
      </w:r>
    </w:p>
    <w:p w14:paraId="275BA717" w14:textId="77777777" w:rsidR="00C807AA" w:rsidRPr="00C807AA" w:rsidRDefault="00C807AA" w:rsidP="00C807AA">
      <w:pPr>
        <w:rPr>
          <w:lang w:val="en-GB"/>
        </w:rPr>
      </w:pPr>
      <w:r w:rsidRPr="00C807AA">
        <w:rPr>
          <w:b/>
          <w:bCs/>
          <w:lang w:val="en-GB"/>
        </w:rPr>
        <w:lastRenderedPageBreak/>
        <w:t>Supply chain monitoring:</w:t>
      </w:r>
      <w:r w:rsidRPr="00C807AA">
        <w:rPr>
          <w:lang w:val="en-GB"/>
        </w:rPr>
        <w:t xml:space="preserve"> We also require our primary suppliers to monitor their own supply chains, notify us of risks, and take responsibility for addressing any findings. This work is essential to ensure that violations do not occur further upstream in the supply chain. </w:t>
      </w:r>
    </w:p>
    <w:p w14:paraId="0225F387" w14:textId="77777777" w:rsidR="00C807AA" w:rsidRPr="00C807AA" w:rsidRDefault="00C807AA" w:rsidP="00C807AA">
      <w:pPr>
        <w:rPr>
          <w:lang w:val="en-GB"/>
        </w:rPr>
      </w:pPr>
      <w:r w:rsidRPr="00C807AA">
        <w:rPr>
          <w:lang w:val="en-GB"/>
        </w:rPr>
        <w:t xml:space="preserve">Our approach to risk assessment is dynamic and continuously adapted based on information received from our assessment partners and suppliers. Drytech aims to hold regular supplier meetings with its largest suppliers at least once per year. The Transparency Act is a standing agenda item at these meetings to ensure continuity in our efforts. The meetings also provide a valuable forum for experience-sharing and industry collaboration. </w:t>
      </w:r>
    </w:p>
    <w:p w14:paraId="24453860" w14:textId="77777777" w:rsidR="00C807AA" w:rsidRPr="00C807AA" w:rsidRDefault="00C807AA" w:rsidP="00C807AA">
      <w:pPr>
        <w:rPr>
          <w:b/>
          <w:bCs/>
          <w:lang w:val="en-GB"/>
        </w:rPr>
      </w:pPr>
      <w:r w:rsidRPr="00C807AA">
        <w:rPr>
          <w:b/>
          <w:bCs/>
          <w:lang w:val="en-GB"/>
        </w:rPr>
        <w:t>4.2 Internal Conditions</w:t>
      </w:r>
    </w:p>
    <w:p w14:paraId="0E908A74" w14:textId="77777777" w:rsidR="00C807AA" w:rsidRDefault="00C807AA" w:rsidP="00C807AA">
      <w:pPr>
        <w:rPr>
          <w:lang w:val="en-GB"/>
        </w:rPr>
      </w:pPr>
      <w:r w:rsidRPr="00C807AA">
        <w:rPr>
          <w:lang w:val="en-GB"/>
        </w:rPr>
        <w:t xml:space="preserve">The company works systematically to identify and manage risks related to violations of fundamental human rights and decent working conditions within its own organization. Internal risks may relate to the working environment, working hours, equal treatment, and compliance with internal ethical guidelines. Such matters are followed up through internal controls, employee dialogue, and established whistleblowing procedures, and any deviations are addressed through investigations and corrective actions. However, further work is required regarding internal anchoring, as well as the development and implementation of a formal procedure for handling violations. For the 2025 reporting period, information reported through the incident management system, dialogue with the HSE Manager, and the annual report from the Working Environment Committee (AMU) formed the basis of the assessment. </w:t>
      </w:r>
    </w:p>
    <w:p w14:paraId="4A6FCFDF" w14:textId="77777777" w:rsidR="00C807AA" w:rsidRPr="00C807AA" w:rsidRDefault="00C807AA" w:rsidP="00C807AA">
      <w:pPr>
        <w:rPr>
          <w:b/>
          <w:bCs/>
          <w:lang w:val="en-GB"/>
        </w:rPr>
      </w:pPr>
      <w:r w:rsidRPr="00C807AA">
        <w:rPr>
          <w:b/>
          <w:bCs/>
          <w:lang w:val="en-GB"/>
        </w:rPr>
        <w:t>5. Identified Risks</w:t>
      </w:r>
    </w:p>
    <w:p w14:paraId="3E867EF8" w14:textId="77777777" w:rsidR="00C807AA" w:rsidRPr="00C807AA" w:rsidRDefault="00C807AA" w:rsidP="00C807AA">
      <w:pPr>
        <w:rPr>
          <w:b/>
          <w:bCs/>
          <w:lang w:val="en-GB"/>
        </w:rPr>
      </w:pPr>
      <w:r w:rsidRPr="00C807AA">
        <w:rPr>
          <w:b/>
          <w:bCs/>
          <w:lang w:val="en-GB"/>
        </w:rPr>
        <w:t>5.1 External Risk</w:t>
      </w:r>
    </w:p>
    <w:p w14:paraId="48C1CB95" w14:textId="77777777" w:rsidR="00C807AA" w:rsidRPr="00C807AA" w:rsidRDefault="00C807AA" w:rsidP="00C807AA">
      <w:pPr>
        <w:rPr>
          <w:lang w:val="en-GB"/>
        </w:rPr>
      </w:pPr>
      <w:r w:rsidRPr="00C807AA">
        <w:rPr>
          <w:lang w:val="en-GB"/>
        </w:rPr>
        <w:t xml:space="preserve">The company’s supply chain is reviewed to identify any violations related to human rights, decent working conditions, environmental issues, and anti-corruption. Drytech has many suppliers operating in industries with elevated risk profiles, such as food production, transportation, and staffing services. </w:t>
      </w:r>
      <w:proofErr w:type="gramStart"/>
      <w:r w:rsidRPr="00C807AA">
        <w:rPr>
          <w:lang w:val="en-GB"/>
        </w:rPr>
        <w:t>All of</w:t>
      </w:r>
      <w:proofErr w:type="gramEnd"/>
      <w:r w:rsidRPr="00C807AA">
        <w:rPr>
          <w:lang w:val="en-GB"/>
        </w:rPr>
        <w:t xml:space="preserve"> these suppliers are Norwegian. Furthermore, suppliers within high-risk industries are large enterprises with established procedures and their own reporting obligations under the Transparency Act. </w:t>
      </w:r>
    </w:p>
    <w:p w14:paraId="4DABE4A6" w14:textId="77777777" w:rsidR="00C807AA" w:rsidRPr="00C807AA" w:rsidRDefault="00C807AA" w:rsidP="00C807AA">
      <w:pPr>
        <w:rPr>
          <w:lang w:val="en-GB"/>
        </w:rPr>
      </w:pPr>
      <w:r w:rsidRPr="00C807AA">
        <w:rPr>
          <w:lang w:val="en-GB"/>
        </w:rPr>
        <w:t xml:space="preserve">During this reporting period, a potential violation of ethical guidelines and decent working conditions was identified at one of the company’s suppliers. The issue was uncovered through mandatory monitoring activities, as the supplier operates within a high-risk industry. Following identification of the issue, extensive documentation was requested from the supplier after dialogue had been established. The supplier provided satisfactory responses within the specified deadline, and the deviations were subsequently closed. As a result of the incident, Drytech signed a new agreement with the supplier, improved its procedures for monitoring compliance obligations, and now </w:t>
      </w:r>
      <w:r w:rsidRPr="00C807AA">
        <w:rPr>
          <w:lang w:val="en-GB"/>
        </w:rPr>
        <w:lastRenderedPageBreak/>
        <w:t xml:space="preserve">conducts controls in accordance with established routines. A final report was prepared, and the company’s contract manager will continue to follow up on the relevant points during future supplier meetings with the supplier concerned. </w:t>
      </w:r>
    </w:p>
    <w:p w14:paraId="566FA61F" w14:textId="77777777" w:rsidR="00C807AA" w:rsidRPr="00C807AA" w:rsidRDefault="00C807AA" w:rsidP="00C807AA">
      <w:pPr>
        <w:rPr>
          <w:lang w:val="en-GB"/>
        </w:rPr>
      </w:pPr>
      <w:r w:rsidRPr="00C807AA">
        <w:rPr>
          <w:lang w:val="en-GB"/>
        </w:rPr>
        <w:t xml:space="preserve">Apart from this matter, we are not aware of any specific risks associated with individual suppliers. Based on an overall assessment, we do not consider any of our suppliers to present a high level of risk solely based on industry affiliation. Nevertheless, high-risk industries remain flagged and are subject to continued monitoring. Most suppliers included in this assessment are themselves subject to the Transparency Act and publish annual reports. </w:t>
      </w:r>
    </w:p>
    <w:p w14:paraId="27DAFFF1" w14:textId="77777777" w:rsidR="00C807AA" w:rsidRPr="00C807AA" w:rsidRDefault="00C807AA" w:rsidP="00C807AA">
      <w:pPr>
        <w:rPr>
          <w:lang w:val="en-GB"/>
        </w:rPr>
      </w:pPr>
    </w:p>
    <w:p w14:paraId="475AE44A" w14:textId="77777777" w:rsidR="00C807AA" w:rsidRPr="00C807AA" w:rsidRDefault="00C807AA" w:rsidP="00C807AA">
      <w:pPr>
        <w:rPr>
          <w:b/>
          <w:bCs/>
          <w:lang w:val="en-GB"/>
        </w:rPr>
      </w:pPr>
      <w:r w:rsidRPr="00C807AA">
        <w:rPr>
          <w:b/>
          <w:bCs/>
          <w:lang w:val="en-GB"/>
        </w:rPr>
        <w:t>5.2 Internal Risk</w:t>
      </w:r>
    </w:p>
    <w:p w14:paraId="04F4CD1E" w14:textId="77777777" w:rsidR="00C807AA" w:rsidRPr="00C807AA" w:rsidRDefault="00C807AA" w:rsidP="00C807AA">
      <w:pPr>
        <w:rPr>
          <w:lang w:val="en-GB"/>
        </w:rPr>
      </w:pPr>
      <w:r w:rsidRPr="00C807AA">
        <w:rPr>
          <w:lang w:val="en-GB"/>
        </w:rPr>
        <w:t xml:space="preserve">No risks were identified within our internal operations in 2025 relating to violations of ethical guidelines or working conditions. We actively work to improve our internal procedures and training programs to strengthen our culture of HSE and ethical conduct. Regular internal audits help ensure that our procedures comply with best practices and legal requirements. The company also has a Working Environment Committee (AMU) consisting of representatives from across the organization. This includes the Managing Director, HSE Manager, Chief Union Representative, Chief Safety Representative, and representatives from the Occupational Health Service. The AMU addresses matters related to health, safety, and the working environment. </w:t>
      </w:r>
    </w:p>
    <w:p w14:paraId="3E6DB065" w14:textId="77777777" w:rsidR="00C807AA" w:rsidRPr="00C807AA" w:rsidRDefault="00C807AA" w:rsidP="00C807AA">
      <w:pPr>
        <w:rPr>
          <w:b/>
          <w:bCs/>
          <w:lang w:val="en-GB"/>
        </w:rPr>
      </w:pPr>
      <w:r w:rsidRPr="00C807AA">
        <w:rPr>
          <w:b/>
          <w:bCs/>
          <w:lang w:val="en-GB"/>
        </w:rPr>
        <w:t>6. Measures to Reduce Risk</w:t>
      </w:r>
    </w:p>
    <w:p w14:paraId="1114EAE3" w14:textId="77777777" w:rsidR="00C807AA" w:rsidRPr="00C807AA" w:rsidRDefault="00C807AA" w:rsidP="00C807AA">
      <w:pPr>
        <w:rPr>
          <w:lang w:val="en-GB"/>
        </w:rPr>
      </w:pPr>
      <w:r w:rsidRPr="00C807AA">
        <w:rPr>
          <w:lang w:val="en-GB"/>
        </w:rPr>
        <w:t>Drytech maintains regular contact with its largest suppliers through ongoing dialogue and face-to-face meetings. These meetings often include tours of supplier facilities, providing opportunities for direct conversations with employees across different departments. This practice contributes to the early identification of potential risk factors and provides valuable insight into suppliers’ internal operations.</w:t>
      </w:r>
    </w:p>
    <w:p w14:paraId="66C0ADDB" w14:textId="77777777" w:rsidR="00C807AA" w:rsidRPr="00C807AA" w:rsidRDefault="00C807AA" w:rsidP="00C807AA">
      <w:r w:rsidRPr="00C807AA">
        <w:rPr>
          <w:lang w:val="en-GB"/>
        </w:rPr>
        <w:t xml:space="preserve">Drytech has implemented a new supplier management system that provides early warnings of potential issues relating to prioritized suppliers. If risks are identified, we initiate the necessary measures in cooperation with the suppliers. </w:t>
      </w:r>
      <w:proofErr w:type="spellStart"/>
      <w:r w:rsidRPr="00C807AA">
        <w:t>Such</w:t>
      </w:r>
      <w:proofErr w:type="spellEnd"/>
      <w:r w:rsidRPr="00C807AA">
        <w:t xml:space="preserve"> </w:t>
      </w:r>
      <w:proofErr w:type="spellStart"/>
      <w:r w:rsidRPr="00C807AA">
        <w:t>measures</w:t>
      </w:r>
      <w:proofErr w:type="spellEnd"/>
      <w:r w:rsidRPr="00C807AA">
        <w:t xml:space="preserve"> </w:t>
      </w:r>
      <w:proofErr w:type="spellStart"/>
      <w:r w:rsidRPr="00C807AA">
        <w:t>may</w:t>
      </w:r>
      <w:proofErr w:type="spellEnd"/>
      <w:r w:rsidRPr="00C807AA">
        <w:t xml:space="preserve"> </w:t>
      </w:r>
      <w:proofErr w:type="spellStart"/>
      <w:r w:rsidRPr="00C807AA">
        <w:t>include</w:t>
      </w:r>
      <w:proofErr w:type="spellEnd"/>
      <w:r w:rsidRPr="00C807AA">
        <w:t>:</w:t>
      </w:r>
    </w:p>
    <w:p w14:paraId="08DAA020" w14:textId="77777777" w:rsidR="00C807AA" w:rsidRPr="00C807AA" w:rsidRDefault="00C807AA" w:rsidP="00C807AA">
      <w:pPr>
        <w:numPr>
          <w:ilvl w:val="0"/>
          <w:numId w:val="2"/>
        </w:numPr>
        <w:rPr>
          <w:lang w:val="en-GB"/>
        </w:rPr>
      </w:pPr>
      <w:r w:rsidRPr="00C807AA">
        <w:rPr>
          <w:lang w:val="en-GB"/>
        </w:rPr>
        <w:t xml:space="preserve">Dialogue with the supplier to identify root causes and, where appropriate, support the implementation of corrective actions. This may include updating internal procedures related to safety training, equality policies, and environmental considerations to ensure continuous improvement. </w:t>
      </w:r>
    </w:p>
    <w:p w14:paraId="463D9EE0" w14:textId="77777777" w:rsidR="00C807AA" w:rsidRPr="00C807AA" w:rsidRDefault="00C807AA" w:rsidP="00C807AA">
      <w:pPr>
        <w:numPr>
          <w:ilvl w:val="0"/>
          <w:numId w:val="2"/>
        </w:numPr>
        <w:rPr>
          <w:lang w:val="en-GB"/>
        </w:rPr>
      </w:pPr>
      <w:r w:rsidRPr="00C807AA">
        <w:rPr>
          <w:lang w:val="en-GB"/>
        </w:rPr>
        <w:t xml:space="preserve">Requirements for regular reporting and third-party audits to closely monitor compliance. </w:t>
      </w:r>
    </w:p>
    <w:p w14:paraId="4504DA81" w14:textId="77777777" w:rsidR="00C807AA" w:rsidRPr="00C807AA" w:rsidRDefault="00C807AA" w:rsidP="00C807AA">
      <w:pPr>
        <w:numPr>
          <w:ilvl w:val="0"/>
          <w:numId w:val="2"/>
        </w:numPr>
        <w:rPr>
          <w:lang w:val="en-GB"/>
        </w:rPr>
      </w:pPr>
      <w:r w:rsidRPr="00C807AA">
        <w:rPr>
          <w:lang w:val="en-GB"/>
        </w:rPr>
        <w:lastRenderedPageBreak/>
        <w:t xml:space="preserve">Adjustment or termination of agreements if serious violations occur and are not remedied within a reasonable period. </w:t>
      </w:r>
    </w:p>
    <w:p w14:paraId="3282A3B6" w14:textId="77777777" w:rsidR="00C807AA" w:rsidRPr="00C807AA" w:rsidRDefault="00C807AA" w:rsidP="00C807AA">
      <w:pPr>
        <w:rPr>
          <w:b/>
          <w:bCs/>
          <w:lang w:val="en-GB"/>
        </w:rPr>
      </w:pPr>
      <w:r w:rsidRPr="00C807AA">
        <w:rPr>
          <w:b/>
          <w:bCs/>
          <w:lang w:val="en-GB"/>
        </w:rPr>
        <w:t>7. Objectives</w:t>
      </w:r>
    </w:p>
    <w:p w14:paraId="58CF4400" w14:textId="77777777" w:rsidR="00C807AA" w:rsidRPr="00C807AA" w:rsidRDefault="00C807AA" w:rsidP="00C807AA">
      <w:pPr>
        <w:rPr>
          <w:b/>
          <w:bCs/>
          <w:lang w:val="en-GB"/>
        </w:rPr>
      </w:pPr>
      <w:r w:rsidRPr="00C807AA">
        <w:rPr>
          <w:b/>
          <w:bCs/>
          <w:lang w:val="en-GB"/>
        </w:rPr>
        <w:t>7.1 Objectives for 2025</w:t>
      </w:r>
    </w:p>
    <w:p w14:paraId="22708766" w14:textId="77777777" w:rsidR="00C807AA" w:rsidRPr="00C807AA" w:rsidRDefault="00C807AA" w:rsidP="00C807AA">
      <w:pPr>
        <w:rPr>
          <w:lang w:val="en-GB"/>
        </w:rPr>
      </w:pPr>
      <w:r w:rsidRPr="00C807AA">
        <w:rPr>
          <w:lang w:val="en-GB"/>
        </w:rPr>
        <w:t xml:space="preserve">Certain planned activities were not completed within the reporting period. This was primarily due to the need to prioritize larger and more resource-intensive activities that had a direct impact on the company’s long-term development, strategic direction, and overall objectives. Nevertheless, efforts are ongoing to establish improved work processes and more continuous routines aimed at ensuring better progress and implementation in the future. </w:t>
      </w:r>
    </w:p>
    <w:p w14:paraId="52070DE6" w14:textId="2DBEFCB2" w:rsidR="00C807AA" w:rsidRPr="00C807AA" w:rsidRDefault="00C807AA" w:rsidP="00C807AA">
      <w:pPr>
        <w:numPr>
          <w:ilvl w:val="0"/>
          <w:numId w:val="3"/>
        </w:numPr>
        <w:rPr>
          <w:lang w:val="en-GB"/>
        </w:rPr>
      </w:pPr>
      <w:r w:rsidRPr="00C807AA">
        <w:rPr>
          <w:lang w:val="en-GB"/>
        </w:rPr>
        <w:t xml:space="preserve">Maintain the supplier scope established in 2024. </w:t>
      </w:r>
      <w:r>
        <w:rPr>
          <w:noProof/>
          <w:lang w:val="en-GB"/>
        </w:rPr>
        <w:drawing>
          <wp:inline distT="0" distB="0" distL="0" distR="0" wp14:anchorId="5D05D303" wp14:editId="680696C1">
            <wp:extent cx="304800" cy="304800"/>
            <wp:effectExtent l="0" t="0" r="0" b="0"/>
            <wp:docPr id="178794071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73AD1315" w14:textId="47068B40" w:rsidR="00C807AA" w:rsidRPr="00C807AA" w:rsidRDefault="00C807AA" w:rsidP="00C807AA">
      <w:pPr>
        <w:numPr>
          <w:ilvl w:val="0"/>
          <w:numId w:val="3"/>
        </w:numPr>
        <w:rPr>
          <w:lang w:val="en-GB"/>
        </w:rPr>
      </w:pPr>
      <w:r w:rsidRPr="00C807AA">
        <w:rPr>
          <w:lang w:val="en-GB"/>
        </w:rPr>
        <w:t xml:space="preserve">Implement the supplier management system. </w:t>
      </w:r>
      <w:r>
        <w:rPr>
          <w:noProof/>
          <w:lang w:val="en-GB"/>
        </w:rPr>
        <w:drawing>
          <wp:inline distT="0" distB="0" distL="0" distR="0" wp14:anchorId="7CCD115A" wp14:editId="498323F0">
            <wp:extent cx="304800" cy="304800"/>
            <wp:effectExtent l="0" t="0" r="0" b="0"/>
            <wp:docPr id="128306492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51C2075C" w14:textId="2DD0ED61" w:rsidR="00C807AA" w:rsidRPr="00C807AA" w:rsidRDefault="00C807AA" w:rsidP="00C807AA">
      <w:pPr>
        <w:numPr>
          <w:ilvl w:val="0"/>
          <w:numId w:val="3"/>
        </w:numPr>
        <w:rPr>
          <w:lang w:val="en-GB"/>
        </w:rPr>
      </w:pPr>
      <w:r w:rsidRPr="00C807AA">
        <w:rPr>
          <w:lang w:val="en-GB"/>
        </w:rPr>
        <w:t xml:space="preserve">Finalize and implement internal due diligence guidelines. </w:t>
      </w:r>
      <w:r w:rsidRPr="00060BB4">
        <w:rPr>
          <w:rFonts w:ascii="Times New Roman" w:eastAsia="Times New Roman" w:hAnsi="Times New Roman" w:cs="Times New Roman"/>
          <w:b/>
          <w:bCs/>
          <w:noProof/>
          <w:color w:val="000000"/>
          <w:kern w:val="0"/>
        </w:rPr>
        <w:drawing>
          <wp:inline distT="0" distB="0" distL="0" distR="0" wp14:anchorId="432F6D2B" wp14:editId="4264C675">
            <wp:extent cx="257175" cy="257175"/>
            <wp:effectExtent l="0" t="0" r="9525" b="9525"/>
            <wp:docPr id="1257194069" name="Grafikk 1" descr="Slutt å følge Merke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1827" name="Grafikk 192641827" descr="Slutt å følge Merke kontur"/>
                    <pic:cNvPicPr/>
                  </pic:nvPicPr>
                  <pic:blipFill>
                    <a:blip r:embed="rId9">
                      <a:extLst>
                        <a:ext uri="{96DAC541-7B7A-43D3-8B79-37D633B846F1}">
                          <asvg:svgBlip xmlns:asvg="http://schemas.microsoft.com/office/drawing/2016/SVG/main" r:embed="rId10"/>
                        </a:ext>
                      </a:extLst>
                    </a:blip>
                    <a:stretch>
                      <a:fillRect/>
                    </a:stretch>
                  </pic:blipFill>
                  <pic:spPr>
                    <a:xfrm>
                      <a:off x="0" y="0"/>
                      <a:ext cx="257175" cy="257175"/>
                    </a:xfrm>
                    <a:prstGeom prst="rect">
                      <a:avLst/>
                    </a:prstGeom>
                  </pic:spPr>
                </pic:pic>
              </a:graphicData>
            </a:graphic>
          </wp:inline>
        </w:drawing>
      </w:r>
    </w:p>
    <w:p w14:paraId="1BA142A5" w14:textId="77777777" w:rsidR="00C807AA" w:rsidRPr="00C807AA" w:rsidRDefault="00C807AA" w:rsidP="00C807AA">
      <w:pPr>
        <w:rPr>
          <w:b/>
          <w:bCs/>
          <w:lang w:val="en-GB"/>
        </w:rPr>
      </w:pPr>
      <w:r w:rsidRPr="00C807AA">
        <w:rPr>
          <w:b/>
          <w:bCs/>
          <w:lang w:val="en-GB"/>
        </w:rPr>
        <w:t>7.2 Objectives for 2026</w:t>
      </w:r>
    </w:p>
    <w:p w14:paraId="14866ED7" w14:textId="77777777" w:rsidR="00C807AA" w:rsidRPr="00C807AA" w:rsidRDefault="00C807AA" w:rsidP="00C807AA">
      <w:pPr>
        <w:rPr>
          <w:lang w:val="en-GB"/>
        </w:rPr>
      </w:pPr>
      <w:r w:rsidRPr="00C807AA">
        <w:rPr>
          <w:lang w:val="en-GB"/>
        </w:rPr>
        <w:t xml:space="preserve">In 2026, work on supply chain assessments will continue. The scope applied to the 2025 due diligence assessments will be maintained. The objective is to gain better insight into and control over prioritized suppliers, while also assessing the origin of individual products to obtain a more comprehensive understanding of the overall risk landscape. In the longer term, an overarching objective is to conduct systematic due diligence assessments at the industry level. As part of this work, we will redefine the internal industry codes used to categorize suppliers so that they correspond with NACE industry classifications. </w:t>
      </w:r>
    </w:p>
    <w:p w14:paraId="0456D8BE" w14:textId="77777777" w:rsidR="00C807AA" w:rsidRPr="00C807AA" w:rsidRDefault="00C807AA" w:rsidP="00C807AA">
      <w:pPr>
        <w:rPr>
          <w:lang w:val="en-GB"/>
        </w:rPr>
      </w:pPr>
      <w:r w:rsidRPr="00C807AA">
        <w:rPr>
          <w:lang w:val="en-GB"/>
        </w:rPr>
        <w:t>Previous reporting periods have focused primarily on external risks, but increasing attention will be given to internal risks in future periods. Further work will be undertaken to strengthen internal anchoring through greater involvement of the HSE Manager, the Working Environment Committee, and employee representatives. In addition, the internal due diligence guidelines will be finalized and approved by the Board of Directors, and implementation of the Supplier Code of Conduct will continue.</w:t>
      </w:r>
    </w:p>
    <w:p w14:paraId="6AC03600" w14:textId="77777777" w:rsidR="00C807AA" w:rsidRPr="00C807AA" w:rsidRDefault="00C807AA" w:rsidP="00C807AA">
      <w:pPr>
        <w:rPr>
          <w:b/>
          <w:bCs/>
          <w:lang w:val="en-GB"/>
        </w:rPr>
      </w:pPr>
      <w:r w:rsidRPr="00C807AA">
        <w:rPr>
          <w:b/>
          <w:bCs/>
          <w:lang w:val="en-GB"/>
        </w:rPr>
        <w:t>8. Contact and Access to Information</w:t>
      </w:r>
    </w:p>
    <w:p w14:paraId="6AE48D31" w14:textId="77777777" w:rsidR="00C807AA" w:rsidRPr="00C807AA" w:rsidRDefault="00C807AA" w:rsidP="00C807AA">
      <w:pPr>
        <w:rPr>
          <w:lang w:val="en-GB"/>
        </w:rPr>
      </w:pPr>
      <w:r w:rsidRPr="00C807AA">
        <w:rPr>
          <w:lang w:val="en-GB"/>
        </w:rPr>
        <w:t xml:space="preserve">All inquiries relating to Drytech AS’s work under the Transparency Act and human rights may be directed to </w:t>
      </w:r>
      <w:r w:rsidRPr="00C807AA">
        <w:rPr>
          <w:b/>
          <w:bCs/>
          <w:lang w:val="en-GB"/>
        </w:rPr>
        <w:t>post@drytech.no</w:t>
      </w:r>
      <w:r w:rsidRPr="00C807AA">
        <w:rPr>
          <w:lang w:val="en-GB"/>
        </w:rPr>
        <w:t xml:space="preserve">. We normally respond to inquiries within three weeks, although more time may be required if extensive documentation is involved. </w:t>
      </w:r>
    </w:p>
    <w:p w14:paraId="50E24BB1" w14:textId="2A22A7BA" w:rsidR="00C807AA" w:rsidRPr="00C807AA" w:rsidRDefault="00C807AA" w:rsidP="00C807AA">
      <w:r w:rsidRPr="00C807AA">
        <w:pict w14:anchorId="06CC680C">
          <v:rect id="_x0000_i1031" style="width:0;height:1.5pt" o:hralign="center" o:hrstd="t" o:hr="t" fillcolor="#a0a0a0" stroked="f"/>
        </w:pict>
      </w:r>
    </w:p>
    <w:p w14:paraId="58E5772A" w14:textId="77777777" w:rsidR="00C807AA" w:rsidRDefault="00C807AA" w:rsidP="00C807AA">
      <w:pPr>
        <w:rPr>
          <w:b/>
          <w:bCs/>
          <w:lang w:val="en-GB"/>
        </w:rPr>
      </w:pPr>
    </w:p>
    <w:p w14:paraId="459CBB5C" w14:textId="18D5FDE9" w:rsidR="00C807AA" w:rsidRDefault="00C807AA" w:rsidP="00C807AA">
      <w:pPr>
        <w:rPr>
          <w:b/>
          <w:bCs/>
          <w:lang w:val="en-GB"/>
        </w:rPr>
      </w:pPr>
      <w:r w:rsidRPr="00C807AA">
        <w:rPr>
          <w:b/>
          <w:bCs/>
          <w:lang w:val="en-GB"/>
        </w:rPr>
        <w:drawing>
          <wp:inline distT="0" distB="0" distL="0" distR="0" wp14:anchorId="647A9CB3" wp14:editId="0E89519B">
            <wp:extent cx="4982270" cy="3858163"/>
            <wp:effectExtent l="0" t="0" r="8890" b="9525"/>
            <wp:docPr id="1463042750" name="Bilde 1" descr="The document is a report approved by the board of Drytech AS, dated 04.06.2026, with signatures from various board members and the CE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42750" name="Bilde 1" descr="The document is a report approved by the board of Drytech AS, dated 04.06.2026, with signatures from various board members and the CEO.&#10;&#10;KI-generert innhold kan være feil."/>
                    <pic:cNvPicPr/>
                  </pic:nvPicPr>
                  <pic:blipFill>
                    <a:blip r:embed="rId11"/>
                    <a:stretch>
                      <a:fillRect/>
                    </a:stretch>
                  </pic:blipFill>
                  <pic:spPr>
                    <a:xfrm>
                      <a:off x="0" y="0"/>
                      <a:ext cx="4982270" cy="3858163"/>
                    </a:xfrm>
                    <a:prstGeom prst="rect">
                      <a:avLst/>
                    </a:prstGeom>
                  </pic:spPr>
                </pic:pic>
              </a:graphicData>
            </a:graphic>
          </wp:inline>
        </w:drawing>
      </w:r>
    </w:p>
    <w:p w14:paraId="49E8F376" w14:textId="77777777" w:rsidR="00C807AA" w:rsidRDefault="00C807AA" w:rsidP="00C807AA">
      <w:pPr>
        <w:rPr>
          <w:b/>
          <w:bCs/>
          <w:lang w:val="en-GB"/>
        </w:rPr>
      </w:pPr>
    </w:p>
    <w:p w14:paraId="4EA8D9D2" w14:textId="77777777" w:rsidR="00C807AA" w:rsidRDefault="00C807AA" w:rsidP="00C807AA">
      <w:pPr>
        <w:rPr>
          <w:b/>
          <w:bCs/>
          <w:lang w:val="en-GB"/>
        </w:rPr>
      </w:pPr>
    </w:p>
    <w:p w14:paraId="612762C3" w14:textId="77777777" w:rsidR="00C807AA" w:rsidRDefault="00C807AA" w:rsidP="00C807AA">
      <w:pPr>
        <w:rPr>
          <w:b/>
          <w:bCs/>
          <w:lang w:val="en-GB"/>
        </w:rPr>
      </w:pPr>
    </w:p>
    <w:p w14:paraId="31FC99E6" w14:textId="77777777" w:rsidR="00C807AA" w:rsidRDefault="00C807AA" w:rsidP="00C807AA">
      <w:pPr>
        <w:rPr>
          <w:b/>
          <w:bCs/>
          <w:lang w:val="en-GB"/>
        </w:rPr>
      </w:pPr>
    </w:p>
    <w:p w14:paraId="65AF75F2" w14:textId="77777777" w:rsidR="00C807AA" w:rsidRDefault="00C807AA" w:rsidP="00C807AA">
      <w:pPr>
        <w:rPr>
          <w:b/>
          <w:bCs/>
          <w:lang w:val="en-GB"/>
        </w:rPr>
      </w:pPr>
    </w:p>
    <w:p w14:paraId="7555B709" w14:textId="77777777" w:rsidR="00C807AA" w:rsidRDefault="00C807AA" w:rsidP="00C807AA">
      <w:pPr>
        <w:rPr>
          <w:b/>
          <w:bCs/>
          <w:lang w:val="en-GB"/>
        </w:rPr>
      </w:pPr>
    </w:p>
    <w:p w14:paraId="20353C58" w14:textId="072315C3" w:rsidR="00C807AA" w:rsidRPr="00C807AA" w:rsidRDefault="00C807AA" w:rsidP="00C807AA">
      <w:pPr>
        <w:rPr>
          <w:b/>
          <w:bCs/>
          <w:lang w:val="en-GB"/>
        </w:rPr>
      </w:pPr>
      <w:r w:rsidRPr="00C807AA">
        <w:rPr>
          <w:b/>
          <w:bCs/>
          <w:lang w:val="en-GB"/>
        </w:rPr>
        <w:t>Drytech AS is committed to continuously updating and improving its work under the Transparency Act. Our ambition is to identify risks at an early stage, prevent</w:t>
      </w:r>
      <w:r>
        <w:rPr>
          <w:b/>
          <w:bCs/>
          <w:lang w:val="en-GB"/>
        </w:rPr>
        <w:t xml:space="preserve"> </w:t>
      </w:r>
      <w:r w:rsidRPr="00C807AA">
        <w:rPr>
          <w:b/>
          <w:bCs/>
          <w:lang w:val="en-GB"/>
        </w:rPr>
        <w:t>violations, and safeguard the rights of all workers—both within our own organization and throughout our supply chain—by promoting transparency and responsible business conduct. We will continue this work throughout 2026 with a renewed commitment to maintaining high ethical standards across all aspects of our business operations.</w:t>
      </w:r>
    </w:p>
    <w:sectPr w:rsidR="00C807AA" w:rsidRPr="00C807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72C8" w14:textId="77777777" w:rsidR="007C74CB" w:rsidRDefault="007C74CB" w:rsidP="00C807AA">
      <w:pPr>
        <w:spacing w:after="0" w:line="240" w:lineRule="auto"/>
      </w:pPr>
      <w:r>
        <w:separator/>
      </w:r>
    </w:p>
  </w:endnote>
  <w:endnote w:type="continuationSeparator" w:id="0">
    <w:p w14:paraId="3C4B8AE9" w14:textId="77777777" w:rsidR="007C74CB" w:rsidRDefault="007C74CB" w:rsidP="00C8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98D6" w14:textId="77777777" w:rsidR="007C74CB" w:rsidRDefault="007C74CB" w:rsidP="00C807AA">
      <w:pPr>
        <w:spacing w:after="0" w:line="240" w:lineRule="auto"/>
      </w:pPr>
      <w:r>
        <w:separator/>
      </w:r>
    </w:p>
  </w:footnote>
  <w:footnote w:type="continuationSeparator" w:id="0">
    <w:p w14:paraId="44832150" w14:textId="77777777" w:rsidR="007C74CB" w:rsidRDefault="007C74CB" w:rsidP="00C80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12ED"/>
    <w:multiLevelType w:val="multilevel"/>
    <w:tmpl w:val="8876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33327"/>
    <w:multiLevelType w:val="multilevel"/>
    <w:tmpl w:val="51D6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2654E"/>
    <w:multiLevelType w:val="multilevel"/>
    <w:tmpl w:val="6F02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863609">
    <w:abstractNumId w:val="1"/>
  </w:num>
  <w:num w:numId="2" w16cid:durableId="504370126">
    <w:abstractNumId w:val="0"/>
  </w:num>
  <w:num w:numId="3" w16cid:durableId="1044520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AA"/>
    <w:rsid w:val="00440447"/>
    <w:rsid w:val="007C74CB"/>
    <w:rsid w:val="00BD445C"/>
    <w:rsid w:val="00C807AA"/>
    <w:rsid w:val="00D32A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9F90"/>
  <w15:chartTrackingRefBased/>
  <w15:docId w15:val="{E29961FF-E625-4A69-B5A2-821446B8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80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80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807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807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807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807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807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807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807A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807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807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807A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807A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807A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807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807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807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807AA"/>
    <w:rPr>
      <w:rFonts w:eastAsiaTheme="majorEastAsia" w:cstheme="majorBidi"/>
      <w:color w:val="272727" w:themeColor="text1" w:themeTint="D8"/>
    </w:rPr>
  </w:style>
  <w:style w:type="paragraph" w:styleId="Tittel">
    <w:name w:val="Title"/>
    <w:basedOn w:val="Normal"/>
    <w:next w:val="Normal"/>
    <w:link w:val="TittelTegn"/>
    <w:uiPriority w:val="10"/>
    <w:qFormat/>
    <w:rsid w:val="00C80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807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807A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807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807A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807AA"/>
    <w:rPr>
      <w:i/>
      <w:iCs/>
      <w:color w:val="404040" w:themeColor="text1" w:themeTint="BF"/>
    </w:rPr>
  </w:style>
  <w:style w:type="paragraph" w:styleId="Listeavsnitt">
    <w:name w:val="List Paragraph"/>
    <w:basedOn w:val="Normal"/>
    <w:uiPriority w:val="34"/>
    <w:qFormat/>
    <w:rsid w:val="00C807AA"/>
    <w:pPr>
      <w:ind w:left="720"/>
      <w:contextualSpacing/>
    </w:pPr>
  </w:style>
  <w:style w:type="character" w:styleId="Sterkutheving">
    <w:name w:val="Intense Emphasis"/>
    <w:basedOn w:val="Standardskriftforavsnitt"/>
    <w:uiPriority w:val="21"/>
    <w:qFormat/>
    <w:rsid w:val="00C807AA"/>
    <w:rPr>
      <w:i/>
      <w:iCs/>
      <w:color w:val="0F4761" w:themeColor="accent1" w:themeShade="BF"/>
    </w:rPr>
  </w:style>
  <w:style w:type="paragraph" w:styleId="Sterktsitat">
    <w:name w:val="Intense Quote"/>
    <w:basedOn w:val="Normal"/>
    <w:next w:val="Normal"/>
    <w:link w:val="SterktsitatTegn"/>
    <w:uiPriority w:val="30"/>
    <w:qFormat/>
    <w:rsid w:val="00C80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807AA"/>
    <w:rPr>
      <w:i/>
      <w:iCs/>
      <w:color w:val="0F4761" w:themeColor="accent1" w:themeShade="BF"/>
    </w:rPr>
  </w:style>
  <w:style w:type="character" w:styleId="Sterkreferanse">
    <w:name w:val="Intense Reference"/>
    <w:basedOn w:val="Standardskriftforavsnitt"/>
    <w:uiPriority w:val="32"/>
    <w:qFormat/>
    <w:rsid w:val="00C807AA"/>
    <w:rPr>
      <w:b/>
      <w:bCs/>
      <w:smallCaps/>
      <w:color w:val="0F4761" w:themeColor="accent1" w:themeShade="BF"/>
      <w:spacing w:val="5"/>
    </w:rPr>
  </w:style>
  <w:style w:type="paragraph" w:styleId="Topptekst">
    <w:name w:val="header"/>
    <w:basedOn w:val="Normal"/>
    <w:link w:val="TopptekstTegn"/>
    <w:uiPriority w:val="99"/>
    <w:unhideWhenUsed/>
    <w:rsid w:val="00C807A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807AA"/>
  </w:style>
  <w:style w:type="paragraph" w:styleId="Bunntekst">
    <w:name w:val="footer"/>
    <w:basedOn w:val="Normal"/>
    <w:link w:val="BunntekstTegn"/>
    <w:uiPriority w:val="99"/>
    <w:unhideWhenUsed/>
    <w:rsid w:val="00C807A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80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2132</Words>
  <Characters>11305</Characters>
  <Application>Microsoft Office Word</Application>
  <DocSecurity>0</DocSecurity>
  <Lines>94</Lines>
  <Paragraphs>26</Paragraphs>
  <ScaleCrop>false</ScaleCrop>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Mathiassen</dc:creator>
  <cp:keywords/>
  <dc:description/>
  <cp:lastModifiedBy>Monica Mathiassen</cp:lastModifiedBy>
  <cp:revision>1</cp:revision>
  <dcterms:created xsi:type="dcterms:W3CDTF">2026-06-08T13:16:00Z</dcterms:created>
  <dcterms:modified xsi:type="dcterms:W3CDTF">2026-06-08T13:25:00Z</dcterms:modified>
</cp:coreProperties>
</file>